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AA1AE" w14:textId="351CFEE1" w:rsidR="00DE750E" w:rsidRPr="00ED28CB" w:rsidRDefault="00DE750E" w:rsidP="003D1A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r w:rsidRPr="00ED28CB">
        <w:rPr>
          <w:rFonts w:cstheme="minorHAnsi"/>
          <w:b/>
          <w:bCs/>
          <w:sz w:val="28"/>
          <w:szCs w:val="24"/>
        </w:rPr>
        <w:t>EU-Verordnung über entwaldungsfreie Produkte (EUDR)</w:t>
      </w:r>
    </w:p>
    <w:p w14:paraId="6C396DCB" w14:textId="77777777" w:rsidR="00DE750E" w:rsidRPr="00010686" w:rsidRDefault="00DE750E" w:rsidP="005A565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1CA8189E" w14:textId="350271AC" w:rsidR="005A5650" w:rsidRDefault="005A5650" w:rsidP="008B2AA3">
      <w:pPr>
        <w:autoSpaceDE w:val="0"/>
        <w:autoSpaceDN w:val="0"/>
        <w:adjustRightInd w:val="0"/>
        <w:spacing w:before="200" w:after="0" w:line="240" w:lineRule="auto"/>
        <w:jc w:val="both"/>
        <w:rPr>
          <w:rFonts w:cstheme="minorHAnsi"/>
        </w:rPr>
      </w:pPr>
      <w:r w:rsidRPr="00010686">
        <w:rPr>
          <w:rFonts w:cstheme="minorHAnsi"/>
        </w:rPr>
        <w:t>Die EU-Entwaldungsverordnung (EUDR) soll sicherstellen, dass Produkte, die in der EU in Verkehr gebracht oder ausgeführt werden, nicht zur</w:t>
      </w:r>
      <w:r w:rsidR="00DE750E" w:rsidRPr="00010686">
        <w:rPr>
          <w:rFonts w:cstheme="minorHAnsi"/>
        </w:rPr>
        <w:t xml:space="preserve"> globalen</w:t>
      </w:r>
      <w:r w:rsidRPr="00010686">
        <w:rPr>
          <w:rFonts w:cstheme="minorHAnsi"/>
        </w:rPr>
        <w:t xml:space="preserve"> Entwaldung oder Waldschädigung beitragen.</w:t>
      </w:r>
      <w:r w:rsidR="00DE750E" w:rsidRPr="00010686">
        <w:rPr>
          <w:rFonts w:cstheme="minorHAnsi"/>
        </w:rPr>
        <w:t xml:space="preserve"> </w:t>
      </w:r>
      <w:r w:rsidR="00F568C7">
        <w:rPr>
          <w:color w:val="000000"/>
          <w:shd w:val="clear" w:color="auto" w:fill="FEFEFE"/>
        </w:rPr>
        <w:t xml:space="preserve">Sie ist am 30. Juni 2023 in Kraft getreten und nach einer Übergangszeit </w:t>
      </w:r>
      <w:r w:rsidR="00F568C7" w:rsidRPr="00D539B8">
        <w:rPr>
          <w:b/>
          <w:color w:val="000000"/>
          <w:shd w:val="clear" w:color="auto" w:fill="FEFEFE"/>
        </w:rPr>
        <w:t>ab dem 30. Dezember 2025</w:t>
      </w:r>
      <w:r w:rsidR="00F568C7">
        <w:rPr>
          <w:color w:val="000000"/>
          <w:shd w:val="clear" w:color="auto" w:fill="FEFEFE"/>
        </w:rPr>
        <w:t xml:space="preserve"> anzuwenden.</w:t>
      </w:r>
    </w:p>
    <w:p w14:paraId="77C52010" w14:textId="77777777" w:rsidR="00ED28CB" w:rsidRPr="00010686" w:rsidRDefault="00ED28CB" w:rsidP="003012A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b/>
        </w:rPr>
      </w:pPr>
      <w:r w:rsidRPr="00010686">
        <w:rPr>
          <w:rFonts w:cstheme="minorHAnsi"/>
          <w:b/>
        </w:rPr>
        <w:t>Wofür gilt die EUDR?</w:t>
      </w:r>
    </w:p>
    <w:p w14:paraId="606C0EA1" w14:textId="62FB4D4A" w:rsidR="00ED28CB" w:rsidRDefault="00F568C7" w:rsidP="008B2AA3">
      <w:pPr>
        <w:autoSpaceDE w:val="0"/>
        <w:autoSpaceDN w:val="0"/>
        <w:adjustRightInd w:val="0"/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Zu </w:t>
      </w:r>
      <w:r w:rsidR="007F64D7">
        <w:rPr>
          <w:rFonts w:cstheme="minorHAnsi"/>
        </w:rPr>
        <w:t>den relevanten</w:t>
      </w:r>
      <w:r>
        <w:rPr>
          <w:rFonts w:cstheme="minorHAnsi"/>
        </w:rPr>
        <w:t xml:space="preserve"> Produkten zählen auch Reifen, welche </w:t>
      </w:r>
      <w:r w:rsidR="00C92071">
        <w:rPr>
          <w:rFonts w:cstheme="minorHAnsi"/>
        </w:rPr>
        <w:t xml:space="preserve">den </w:t>
      </w:r>
      <w:r>
        <w:rPr>
          <w:rFonts w:cstheme="minorHAnsi"/>
        </w:rPr>
        <w:t>unter die Verordnung fallenden</w:t>
      </w:r>
      <w:r w:rsidR="00C92071">
        <w:rPr>
          <w:rFonts w:cstheme="minorHAnsi"/>
        </w:rPr>
        <w:t xml:space="preserve"> Rohstoff Naturkautschuk</w:t>
      </w:r>
      <w:r>
        <w:rPr>
          <w:rFonts w:cstheme="minorHAnsi"/>
        </w:rPr>
        <w:t xml:space="preserve"> enthalten.</w:t>
      </w:r>
      <w:r w:rsidR="006E71B4">
        <w:rPr>
          <w:rFonts w:cstheme="minorHAnsi"/>
        </w:rPr>
        <w:t xml:space="preserve"> </w:t>
      </w:r>
      <w:r w:rsidR="007F64D7">
        <w:rPr>
          <w:rFonts w:cstheme="minorHAnsi"/>
        </w:rPr>
        <w:t>Für alle diese Waren, muss beim Import in die EU, beim Verkauf in die EU, bei der Produktion</w:t>
      </w:r>
      <w:r>
        <w:rPr>
          <w:rFonts w:cstheme="minorHAnsi"/>
        </w:rPr>
        <w:t xml:space="preserve"> in der EU produziert</w:t>
      </w:r>
      <w:r w:rsidR="005A5650" w:rsidRPr="00010686">
        <w:rPr>
          <w:rFonts w:cstheme="minorHAnsi"/>
        </w:rPr>
        <w:t xml:space="preserve"> </w:t>
      </w:r>
      <w:r w:rsidR="006E71B4">
        <w:rPr>
          <w:rFonts w:cstheme="minorHAnsi"/>
        </w:rPr>
        <w:t>oder</w:t>
      </w:r>
      <w:r w:rsidR="005A5650" w:rsidRPr="00010686">
        <w:rPr>
          <w:rFonts w:cstheme="minorHAnsi"/>
        </w:rPr>
        <w:t xml:space="preserve"> </w:t>
      </w:r>
      <w:r w:rsidR="007F64D7">
        <w:rPr>
          <w:rFonts w:cstheme="minorHAnsi"/>
        </w:rPr>
        <w:t>beim Export aus der</w:t>
      </w:r>
      <w:r w:rsidR="005A5650" w:rsidRPr="00010686">
        <w:rPr>
          <w:rFonts w:cstheme="minorHAnsi"/>
        </w:rPr>
        <w:t xml:space="preserve"> EU </w:t>
      </w:r>
      <w:r w:rsidR="007F64D7">
        <w:rPr>
          <w:rFonts w:cstheme="minorHAnsi"/>
        </w:rPr>
        <w:t>eine offizielle Sorgfaltserklärung erstellt werden. Diese</w:t>
      </w:r>
      <w:r w:rsidR="00D539B8">
        <w:rPr>
          <w:rFonts w:cstheme="minorHAnsi"/>
        </w:rPr>
        <w:t>s</w:t>
      </w:r>
      <w:r w:rsidR="007F64D7">
        <w:rPr>
          <w:rFonts w:cstheme="minorHAnsi"/>
        </w:rPr>
        <w:t xml:space="preserve"> </w:t>
      </w:r>
      <w:r w:rsidR="00D539B8">
        <w:rPr>
          <w:rFonts w:cstheme="minorHAnsi"/>
        </w:rPr>
        <w:t>sogenannte „</w:t>
      </w:r>
      <w:r w:rsidR="00D539B8" w:rsidRPr="00010686">
        <w:rPr>
          <w:rFonts w:cstheme="minorHAnsi"/>
        </w:rPr>
        <w:t>Due-Diligence-</w:t>
      </w:r>
      <w:r w:rsidR="00D539B8">
        <w:rPr>
          <w:rFonts w:cstheme="minorHAnsi"/>
        </w:rPr>
        <w:t>Statement“</w:t>
      </w:r>
      <w:r w:rsidR="00D539B8" w:rsidRPr="00010686">
        <w:rPr>
          <w:rFonts w:cstheme="minorHAnsi"/>
        </w:rPr>
        <w:t xml:space="preserve"> (DDS)</w:t>
      </w:r>
      <w:r w:rsidR="007F64D7">
        <w:rPr>
          <w:rFonts w:cstheme="minorHAnsi"/>
        </w:rPr>
        <w:t xml:space="preserve"> bestätigt, </w:t>
      </w:r>
      <w:r w:rsidR="00C92071">
        <w:rPr>
          <w:rFonts w:cstheme="minorHAnsi"/>
        </w:rPr>
        <w:t xml:space="preserve">dass die Reifen in Übereinstimmung mit den Anforderungen aus der EUDR Verordnung produziert worden sind. </w:t>
      </w:r>
    </w:p>
    <w:p w14:paraId="2C7A2A67" w14:textId="77777777" w:rsidR="00ED28CB" w:rsidRPr="00010686" w:rsidRDefault="00ED28CB" w:rsidP="003012A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b/>
        </w:rPr>
      </w:pPr>
      <w:r w:rsidRPr="00010686">
        <w:rPr>
          <w:rFonts w:cstheme="minorHAnsi"/>
          <w:b/>
        </w:rPr>
        <w:t>Wofür gilt die EUDR nicht?</w:t>
      </w:r>
    </w:p>
    <w:p w14:paraId="65B98B2E" w14:textId="1899A8F1" w:rsidR="00ED28CB" w:rsidRPr="00010686" w:rsidRDefault="00ED28CB" w:rsidP="008B2AA3">
      <w:pPr>
        <w:autoSpaceDE w:val="0"/>
        <w:autoSpaceDN w:val="0"/>
        <w:adjustRightInd w:val="0"/>
        <w:spacing w:before="40" w:after="0" w:line="240" w:lineRule="auto"/>
        <w:jc w:val="both"/>
        <w:rPr>
          <w:rFonts w:cstheme="minorHAnsi"/>
        </w:rPr>
      </w:pPr>
      <w:r w:rsidRPr="00010686">
        <w:rPr>
          <w:rFonts w:cstheme="minorHAnsi"/>
        </w:rPr>
        <w:t xml:space="preserve">Für Reifen auf einem </w:t>
      </w:r>
      <w:r w:rsidR="00F408C1" w:rsidRPr="00010686">
        <w:rPr>
          <w:rFonts w:cstheme="minorHAnsi"/>
        </w:rPr>
        <w:t xml:space="preserve">in die EU importierten </w:t>
      </w:r>
      <w:r w:rsidRPr="00010686">
        <w:rPr>
          <w:rFonts w:cstheme="minorHAnsi"/>
        </w:rPr>
        <w:t xml:space="preserve">Neufahrzeug gelten die Vorschriften nicht. </w:t>
      </w:r>
      <w:r w:rsidR="00F408C1" w:rsidRPr="00010686">
        <w:rPr>
          <w:rFonts w:cstheme="minorHAnsi"/>
        </w:rPr>
        <w:t xml:space="preserve">Auch </w:t>
      </w:r>
      <w:r w:rsidRPr="00010686">
        <w:rPr>
          <w:rFonts w:cstheme="minorHAnsi"/>
        </w:rPr>
        <w:t xml:space="preserve">Reifen, die </w:t>
      </w:r>
      <w:r w:rsidRPr="00010686">
        <w:rPr>
          <w:rFonts w:cstheme="minorHAnsi"/>
          <w:u w:val="single"/>
        </w:rPr>
        <w:t>vor</w:t>
      </w:r>
      <w:r w:rsidRPr="00010686">
        <w:rPr>
          <w:rFonts w:cstheme="minorHAnsi"/>
        </w:rPr>
        <w:t xml:space="preserve"> dem 30. Dezem</w:t>
      </w:r>
      <w:r w:rsidR="00D539B8">
        <w:rPr>
          <w:rFonts w:cstheme="minorHAnsi"/>
        </w:rPr>
        <w:t>ber 2025 in der EU hergestellt oder in</w:t>
      </w:r>
      <w:r w:rsidRPr="00010686">
        <w:rPr>
          <w:rFonts w:cstheme="minorHAnsi"/>
        </w:rPr>
        <w:t xml:space="preserve"> die EU importiert </w:t>
      </w:r>
      <w:r w:rsidR="00D539B8">
        <w:rPr>
          <w:rFonts w:cstheme="minorHAnsi"/>
        </w:rPr>
        <w:t>worden sind</w:t>
      </w:r>
      <w:r w:rsidRPr="00010686">
        <w:rPr>
          <w:rFonts w:cstheme="minorHAnsi"/>
        </w:rPr>
        <w:t>, unterliegen nicht der EUDR.</w:t>
      </w:r>
      <w:r w:rsidR="00C87AD1">
        <w:rPr>
          <w:rFonts w:cstheme="minorHAnsi"/>
        </w:rPr>
        <w:t xml:space="preserve"> Das bedeutet: Lagerware, die uns vor diesem Datum erreicht, </w:t>
      </w:r>
      <w:r w:rsidR="00D539B8">
        <w:rPr>
          <w:rFonts w:cstheme="minorHAnsi"/>
        </w:rPr>
        <w:t>hat und benötigt noch</w:t>
      </w:r>
      <w:r w:rsidR="007F64D7">
        <w:rPr>
          <w:rFonts w:cstheme="minorHAnsi"/>
        </w:rPr>
        <w:t xml:space="preserve"> keine</w:t>
      </w:r>
      <w:r w:rsidR="00C87AD1">
        <w:rPr>
          <w:rFonts w:cstheme="minorHAnsi"/>
        </w:rPr>
        <w:t xml:space="preserve"> D</w:t>
      </w:r>
      <w:r w:rsidR="00D539B8">
        <w:rPr>
          <w:rFonts w:cstheme="minorHAnsi"/>
        </w:rPr>
        <w:t>D</w:t>
      </w:r>
      <w:r w:rsidR="00C87AD1">
        <w:rPr>
          <w:rFonts w:cstheme="minorHAnsi"/>
        </w:rPr>
        <w:t>S-Referenz, egal wann sie ausgeliefert wird.</w:t>
      </w:r>
    </w:p>
    <w:p w14:paraId="1A1D54C8" w14:textId="77777777" w:rsidR="00F408C1" w:rsidRPr="00010686" w:rsidRDefault="00F408C1" w:rsidP="003012A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b/>
        </w:rPr>
      </w:pPr>
      <w:r w:rsidRPr="00010686">
        <w:rPr>
          <w:rFonts w:cstheme="minorHAnsi"/>
          <w:b/>
        </w:rPr>
        <w:t>Wie handeln wir?</w:t>
      </w:r>
    </w:p>
    <w:p w14:paraId="724A33CD" w14:textId="0521904C" w:rsidR="00ED28CB" w:rsidRPr="00010686" w:rsidRDefault="00150045" w:rsidP="008B2AA3">
      <w:pPr>
        <w:autoSpaceDE w:val="0"/>
        <w:autoSpaceDN w:val="0"/>
        <w:adjustRightInd w:val="0"/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>Es steht für uns außer Frage</w:t>
      </w:r>
      <w:r w:rsidR="00ED28CB" w:rsidRPr="00010686">
        <w:rPr>
          <w:rFonts w:cstheme="minorHAnsi"/>
        </w:rPr>
        <w:t xml:space="preserve">, </w:t>
      </w:r>
      <w:r>
        <w:rPr>
          <w:rFonts w:cstheme="minorHAnsi"/>
        </w:rPr>
        <w:t xml:space="preserve">in Übereinstimmung mit </w:t>
      </w:r>
      <w:r w:rsidR="00ED28CB" w:rsidRPr="00010686">
        <w:rPr>
          <w:rFonts w:cstheme="minorHAnsi"/>
        </w:rPr>
        <w:t>geltende</w:t>
      </w:r>
      <w:r>
        <w:rPr>
          <w:rFonts w:cstheme="minorHAnsi"/>
        </w:rPr>
        <w:t>n</w:t>
      </w:r>
      <w:r w:rsidR="00ED28CB" w:rsidRPr="00010686">
        <w:rPr>
          <w:rFonts w:cstheme="minorHAnsi"/>
        </w:rPr>
        <w:t xml:space="preserve"> Gesetze</w:t>
      </w:r>
      <w:r>
        <w:rPr>
          <w:rFonts w:cstheme="minorHAnsi"/>
        </w:rPr>
        <w:t>n</w:t>
      </w:r>
      <w:r w:rsidR="00ED28CB" w:rsidRPr="00010686">
        <w:rPr>
          <w:rFonts w:cstheme="minorHAnsi"/>
        </w:rPr>
        <w:t xml:space="preserve"> </w:t>
      </w:r>
      <w:r>
        <w:rPr>
          <w:rFonts w:cstheme="minorHAnsi"/>
        </w:rPr>
        <w:t>zu handeln</w:t>
      </w:r>
      <w:r w:rsidR="00ED28CB" w:rsidRPr="00010686">
        <w:rPr>
          <w:rFonts w:cstheme="minorHAnsi"/>
        </w:rPr>
        <w:t xml:space="preserve">. Dazu gehört auch EUDR. Schon seit </w:t>
      </w:r>
      <w:r w:rsidR="003116A7">
        <w:rPr>
          <w:rFonts w:cstheme="minorHAnsi"/>
        </w:rPr>
        <w:t>längerem</w:t>
      </w:r>
      <w:r w:rsidR="00ED28CB" w:rsidRPr="00010686">
        <w:rPr>
          <w:rFonts w:cstheme="minorHAnsi"/>
        </w:rPr>
        <w:t xml:space="preserve"> beschäftigen wir uns damit, die Voraussetzungen für eine wirksame Erfüllung der Vorschriften zu schaffen. Dafür wurde eigens eine Projektgruppe installiert. </w:t>
      </w:r>
    </w:p>
    <w:p w14:paraId="0675B64A" w14:textId="67240E18" w:rsidR="00C31DA6" w:rsidRDefault="00150045" w:rsidP="008B2AA3">
      <w:pPr>
        <w:autoSpaceDE w:val="0"/>
        <w:autoSpaceDN w:val="0"/>
        <w:adjustRightInd w:val="0"/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>Wir arbeiten langfristig mit leistungsfähigen Herstellern zusammen</w:t>
      </w:r>
      <w:r w:rsidR="00C31DA6">
        <w:rPr>
          <w:rFonts w:cstheme="minorHAnsi"/>
        </w:rPr>
        <w:t xml:space="preserve"> und haben</w:t>
      </w:r>
      <w:r w:rsidR="003012A7">
        <w:rPr>
          <w:rFonts w:cstheme="minorHAnsi"/>
        </w:rPr>
        <w:t xml:space="preserve"> gemeinsam</w:t>
      </w:r>
      <w:r w:rsidR="00C31DA6">
        <w:rPr>
          <w:rFonts w:cstheme="minorHAnsi"/>
        </w:rPr>
        <w:t xml:space="preserve"> mit der Implementierung von EUDR in den Lieferbeziehungen begonnen. </w:t>
      </w:r>
      <w:r w:rsidR="003012A7">
        <w:rPr>
          <w:rFonts w:cstheme="minorHAnsi"/>
        </w:rPr>
        <w:t>Viele</w:t>
      </w:r>
      <w:r w:rsidR="00C31DA6">
        <w:rPr>
          <w:rFonts w:cstheme="minorHAnsi"/>
        </w:rPr>
        <w:t xml:space="preserve"> </w:t>
      </w:r>
      <w:r w:rsidR="003012A7">
        <w:rPr>
          <w:rFonts w:cstheme="minorHAnsi"/>
        </w:rPr>
        <w:t>Lieferanten setzen die Anforderungen der Verordnung als Teil ihrer Nachhaltigkeitsinitiativen bereits proaktiv um.</w:t>
      </w:r>
    </w:p>
    <w:p w14:paraId="6CDEF611" w14:textId="0DABFCB1" w:rsidR="00010686" w:rsidRPr="00010686" w:rsidRDefault="00C31DA6" w:rsidP="008B2AA3">
      <w:pPr>
        <w:autoSpaceDE w:val="0"/>
        <w:autoSpaceDN w:val="0"/>
        <w:adjustRightInd w:val="0"/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Die </w:t>
      </w:r>
      <w:r w:rsidR="00B23688">
        <w:rPr>
          <w:rFonts w:cstheme="minorHAnsi"/>
        </w:rPr>
        <w:t xml:space="preserve">geforderte Rückverfolgbarkeit von Rohstoff- und Warenströmen bis zur Ursprungsplantage und weitere Sorgfaltspflichten </w:t>
      </w:r>
      <w:r w:rsidR="003116A7">
        <w:rPr>
          <w:rFonts w:cstheme="minorHAnsi"/>
        </w:rPr>
        <w:t>werden</w:t>
      </w:r>
      <w:r w:rsidR="00B23688">
        <w:rPr>
          <w:rFonts w:cstheme="minorHAnsi"/>
        </w:rPr>
        <w:t xml:space="preserve"> wir über die Nutzung der spezialisierten IT-Plattform </w:t>
      </w:r>
      <w:r w:rsidR="003012A7">
        <w:rPr>
          <w:rFonts w:cstheme="minorHAnsi"/>
        </w:rPr>
        <w:t>OSAPIENS</w:t>
      </w:r>
      <w:r w:rsidR="003116A7">
        <w:rPr>
          <w:rFonts w:cstheme="minorHAnsi"/>
        </w:rPr>
        <w:t xml:space="preserve"> realisieren</w:t>
      </w:r>
      <w:r w:rsidR="00B23688">
        <w:rPr>
          <w:rFonts w:cstheme="minorHAnsi"/>
        </w:rPr>
        <w:t xml:space="preserve">. </w:t>
      </w:r>
    </w:p>
    <w:p w14:paraId="4092EB6D" w14:textId="058352C2" w:rsidR="00F408C1" w:rsidRPr="00010686" w:rsidRDefault="00F408C1" w:rsidP="003012A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b/>
        </w:rPr>
      </w:pPr>
      <w:r w:rsidRPr="00010686">
        <w:rPr>
          <w:rFonts w:cstheme="minorHAnsi"/>
          <w:b/>
        </w:rPr>
        <w:t xml:space="preserve">Wie setzen wir EUDR </w:t>
      </w:r>
      <w:r w:rsidR="003012A7">
        <w:rPr>
          <w:rFonts w:cstheme="minorHAnsi"/>
          <w:b/>
        </w:rPr>
        <w:t xml:space="preserve">konkret </w:t>
      </w:r>
      <w:r w:rsidRPr="00010686">
        <w:rPr>
          <w:rFonts w:cstheme="minorHAnsi"/>
          <w:b/>
        </w:rPr>
        <w:t>um?</w:t>
      </w:r>
    </w:p>
    <w:p w14:paraId="5F5E9B2C" w14:textId="5B3D1FD9" w:rsidR="00F408C1" w:rsidRPr="00010686" w:rsidRDefault="00F408C1" w:rsidP="003D1AA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cstheme="minorHAnsi"/>
        </w:rPr>
      </w:pPr>
      <w:r w:rsidRPr="00010686">
        <w:rPr>
          <w:rFonts w:cstheme="minorHAnsi"/>
        </w:rPr>
        <w:t>Wir holen</w:t>
      </w:r>
      <w:r w:rsidR="003012A7">
        <w:rPr>
          <w:rFonts w:cstheme="minorHAnsi"/>
        </w:rPr>
        <w:t xml:space="preserve"> Sorgfaltserklärungen, d.h.</w:t>
      </w:r>
      <w:r w:rsidRPr="00010686">
        <w:rPr>
          <w:rFonts w:cstheme="minorHAnsi"/>
        </w:rPr>
        <w:t xml:space="preserve"> Due-Diligence-Statements </w:t>
      </w:r>
      <w:r w:rsidR="003012A7">
        <w:rPr>
          <w:rFonts w:cstheme="minorHAnsi"/>
        </w:rPr>
        <w:t xml:space="preserve">(DDS) </w:t>
      </w:r>
      <w:r w:rsidRPr="00010686">
        <w:rPr>
          <w:rFonts w:cstheme="minorHAnsi"/>
        </w:rPr>
        <w:t>von allen Herstellern ein, die uns mit Reifen bzw. Waren beliefern, welche die relevanten Rohstoffe enthalten.</w:t>
      </w:r>
    </w:p>
    <w:p w14:paraId="4B73DA60" w14:textId="1E0F7945" w:rsidR="00F408C1" w:rsidRPr="00010686" w:rsidRDefault="007E534B" w:rsidP="003D1AA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Auf Basis der </w:t>
      </w:r>
      <w:r w:rsidR="00F408C1" w:rsidRPr="00010686">
        <w:rPr>
          <w:rFonts w:cstheme="minorHAnsi"/>
        </w:rPr>
        <w:t xml:space="preserve">Erklärungen unserer Vorlieferanten werden wir </w:t>
      </w:r>
      <w:r>
        <w:rPr>
          <w:rFonts w:cstheme="minorHAnsi"/>
        </w:rPr>
        <w:t xml:space="preserve">eigene </w:t>
      </w:r>
      <w:r w:rsidRPr="00010686">
        <w:rPr>
          <w:rFonts w:cstheme="minorHAnsi"/>
        </w:rPr>
        <w:t xml:space="preserve">Due-Diligence-Statements </w:t>
      </w:r>
      <w:r>
        <w:rPr>
          <w:rFonts w:cstheme="minorHAnsi"/>
        </w:rPr>
        <w:t xml:space="preserve">gegenüber </w:t>
      </w:r>
      <w:r w:rsidR="00F408C1" w:rsidRPr="00010686">
        <w:rPr>
          <w:rFonts w:cstheme="minorHAnsi"/>
        </w:rPr>
        <w:t xml:space="preserve">unseren Kunden </w:t>
      </w:r>
      <w:r>
        <w:rPr>
          <w:rFonts w:cstheme="minorHAnsi"/>
        </w:rPr>
        <w:t>abgeben</w:t>
      </w:r>
      <w:r w:rsidR="00F408C1" w:rsidRPr="00010686">
        <w:rPr>
          <w:rFonts w:cstheme="minorHAnsi"/>
        </w:rPr>
        <w:t xml:space="preserve">. </w:t>
      </w:r>
    </w:p>
    <w:p w14:paraId="6C95770C" w14:textId="77777777" w:rsidR="003012A7" w:rsidRPr="00010686" w:rsidRDefault="003012A7" w:rsidP="003012A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Mit OSAPIENS erarbeiten wir die Bereitstellung EUDR relevanter Daten für unsere Kunden.</w:t>
      </w:r>
    </w:p>
    <w:p w14:paraId="368D643A" w14:textId="67439929" w:rsidR="005A5650" w:rsidRPr="00010686" w:rsidRDefault="007E534B" w:rsidP="003D1AA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An </w:t>
      </w:r>
      <w:r w:rsidR="00C8018B">
        <w:rPr>
          <w:rFonts w:cstheme="minorHAnsi"/>
        </w:rPr>
        <w:t>geeigneter</w:t>
      </w:r>
      <w:r>
        <w:rPr>
          <w:rFonts w:cstheme="minorHAnsi"/>
        </w:rPr>
        <w:t xml:space="preserve"> Stelle, </w:t>
      </w:r>
      <w:r w:rsidR="00BD318D">
        <w:rPr>
          <w:rFonts w:cstheme="minorHAnsi"/>
        </w:rPr>
        <w:t>wie zum Beispiel dem</w:t>
      </w:r>
      <w:r>
        <w:rPr>
          <w:rFonts w:cstheme="minorHAnsi"/>
        </w:rPr>
        <w:t xml:space="preserve"> Lieferschein, werden wir die DDS-Referenznummer und Prüfnummer unseren Kunden gegenüber kommunizieren.</w:t>
      </w:r>
    </w:p>
    <w:p w14:paraId="74A4ACDD" w14:textId="4F50C819" w:rsidR="00F408C1" w:rsidRPr="00010686" w:rsidRDefault="004D09BA" w:rsidP="003D1AA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Wir erarbeiten einen Fahrplan</w:t>
      </w:r>
      <w:r w:rsidR="00BD318D">
        <w:rPr>
          <w:rFonts w:cstheme="minorHAnsi"/>
        </w:rPr>
        <w:t xml:space="preserve"> zu den</w:t>
      </w:r>
      <w:r>
        <w:rPr>
          <w:rFonts w:cstheme="minorHAnsi"/>
        </w:rPr>
        <w:t xml:space="preserve"> geforderten Berichtspflichten</w:t>
      </w:r>
      <w:r w:rsidR="00C8018B">
        <w:rPr>
          <w:rFonts w:cstheme="minorHAnsi"/>
        </w:rPr>
        <w:t xml:space="preserve">. </w:t>
      </w:r>
    </w:p>
    <w:p w14:paraId="4BC18B71" w14:textId="55DC3D1D" w:rsidR="00E544D6" w:rsidRPr="008B2AA3" w:rsidRDefault="00E544D6" w:rsidP="008B2AA3">
      <w:pPr>
        <w:autoSpaceDE w:val="0"/>
        <w:autoSpaceDN w:val="0"/>
        <w:adjustRightInd w:val="0"/>
        <w:spacing w:before="200" w:after="0" w:line="240" w:lineRule="auto"/>
        <w:jc w:val="both"/>
        <w:rPr>
          <w:rFonts w:cstheme="minorHAnsi"/>
          <w:sz w:val="20"/>
        </w:rPr>
      </w:pPr>
      <w:r w:rsidRPr="00010686">
        <w:rPr>
          <w:rFonts w:cstheme="minorHAnsi"/>
        </w:rPr>
        <w:t xml:space="preserve">Weitere Information zum aktuellen Stand von EUDR und der Umsetzung finden Sie auf der Webseite der </w:t>
      </w:r>
      <w:r w:rsidRPr="00010686">
        <w:rPr>
          <w:color w:val="000000"/>
          <w:shd w:val="clear" w:color="auto" w:fill="FEFEFE"/>
        </w:rPr>
        <w:t>Bundesanstalt für Landwirtschaft und Ernährung (</w:t>
      </w:r>
      <w:r w:rsidRPr="00010686">
        <w:t>BLE</w:t>
      </w:r>
      <w:r w:rsidR="003012A7">
        <w:rPr>
          <w:color w:val="000000"/>
          <w:shd w:val="clear" w:color="auto" w:fill="FEFEFE"/>
        </w:rPr>
        <w:t>), der in Deutschland zuständigen Behörde.</w:t>
      </w:r>
      <w:r w:rsidR="00271121">
        <w:rPr>
          <w:color w:val="000000"/>
          <w:shd w:val="clear" w:color="auto" w:fill="FEFEFE"/>
        </w:rPr>
        <w:br/>
      </w:r>
      <w:hyperlink r:id="rId7" w:history="1">
        <w:r w:rsidRPr="008B2AA3">
          <w:rPr>
            <w:rStyle w:val="Hyperlink"/>
            <w:rFonts w:cstheme="minorHAnsi"/>
            <w:sz w:val="20"/>
          </w:rPr>
          <w:t>https://www.bmleh.de/DE/themen/wald/waelder-weltweit/entwaldungsfreie-Lieferketten-eu-vo.html</w:t>
        </w:r>
      </w:hyperlink>
    </w:p>
    <w:p w14:paraId="5B0F4198" w14:textId="56B8C539" w:rsidR="00967511" w:rsidRDefault="005A5650" w:rsidP="008B2AA3">
      <w:pPr>
        <w:autoSpaceDE w:val="0"/>
        <w:autoSpaceDN w:val="0"/>
        <w:adjustRightInd w:val="0"/>
        <w:spacing w:before="200" w:after="0" w:line="240" w:lineRule="auto"/>
        <w:jc w:val="both"/>
        <w:rPr>
          <w:rFonts w:cstheme="minorHAnsi"/>
        </w:rPr>
      </w:pPr>
      <w:r w:rsidRPr="00010686">
        <w:rPr>
          <w:rFonts w:cstheme="minorHAnsi"/>
        </w:rPr>
        <w:t>Bei Fragen wenden Sie</w:t>
      </w:r>
      <w:r w:rsidR="00E544D6" w:rsidRPr="00010686">
        <w:rPr>
          <w:rFonts w:cstheme="minorHAnsi"/>
        </w:rPr>
        <w:t xml:space="preserve"> </w:t>
      </w:r>
      <w:r w:rsidRPr="00010686">
        <w:rPr>
          <w:rFonts w:cstheme="minorHAnsi"/>
        </w:rPr>
        <w:t>sich bitte an Ih</w:t>
      </w:r>
      <w:r w:rsidR="00E544D6" w:rsidRPr="00010686">
        <w:rPr>
          <w:rFonts w:cstheme="minorHAnsi"/>
        </w:rPr>
        <w:t xml:space="preserve">re </w:t>
      </w:r>
      <w:r w:rsidR="00271121">
        <w:rPr>
          <w:rFonts w:cstheme="minorHAnsi"/>
        </w:rPr>
        <w:t xml:space="preserve">bekannten </w:t>
      </w:r>
      <w:r w:rsidR="00E544D6" w:rsidRPr="00010686">
        <w:rPr>
          <w:rFonts w:cstheme="minorHAnsi"/>
        </w:rPr>
        <w:t xml:space="preserve">Ansprechpartner </w:t>
      </w:r>
      <w:r w:rsidR="00271121">
        <w:rPr>
          <w:rFonts w:cstheme="minorHAnsi"/>
        </w:rPr>
        <w:t xml:space="preserve">oder die Geschäftsleitung. </w:t>
      </w:r>
    </w:p>
    <w:p w14:paraId="7354525C" w14:textId="368C6A56" w:rsidR="001B40F3" w:rsidRDefault="00C8018B" w:rsidP="003B0AE8">
      <w:pPr>
        <w:autoSpaceDE w:val="0"/>
        <w:autoSpaceDN w:val="0"/>
        <w:adjustRightInd w:val="0"/>
        <w:spacing w:before="200" w:after="24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Karlsruhe, den </w:t>
      </w:r>
      <w:r w:rsidR="003012A7">
        <w:rPr>
          <w:rFonts w:cstheme="minorHAnsi"/>
        </w:rPr>
        <w:t>8.</w:t>
      </w:r>
      <w:r>
        <w:rPr>
          <w:rFonts w:cstheme="minorHAnsi"/>
        </w:rPr>
        <w:t xml:space="preserve"> August </w:t>
      </w:r>
      <w:r w:rsidR="003012A7">
        <w:rPr>
          <w:rFonts w:cstheme="minorHAnsi"/>
        </w:rPr>
        <w:t>2025</w:t>
      </w:r>
      <w:r w:rsidR="001B40F3">
        <w:rPr>
          <w:rFonts w:cstheme="minorHAnsi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759"/>
      </w:tblGrid>
      <w:tr w:rsidR="002F0106" w14:paraId="544779EB" w14:textId="77777777" w:rsidTr="003B0AE8">
        <w:tc>
          <w:tcPr>
            <w:tcW w:w="5529" w:type="dxa"/>
          </w:tcPr>
          <w:p w14:paraId="37AE1C67" w14:textId="77777777" w:rsidR="00ED13EC" w:rsidRDefault="00ED13EC" w:rsidP="00ED13EC">
            <w:pPr>
              <w:autoSpaceDE w:val="0"/>
              <w:autoSpaceDN w:val="0"/>
              <w:adjustRightInd w:val="0"/>
              <w:ind w:left="-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Geschäftsführer</w:t>
            </w:r>
          </w:p>
          <w:p w14:paraId="683F64D6" w14:textId="7DAF4D2F" w:rsidR="003B0AE8" w:rsidRDefault="00ED13EC" w:rsidP="003B0AE8">
            <w:pPr>
              <w:autoSpaceDE w:val="0"/>
              <w:autoSpaceDN w:val="0"/>
              <w:adjustRightInd w:val="0"/>
              <w:ind w:left="-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Johannes </w:t>
            </w:r>
            <w:proofErr w:type="spellStart"/>
            <w:r>
              <w:rPr>
                <w:rFonts w:cstheme="minorHAnsi"/>
              </w:rPr>
              <w:t>Kuderer</w:t>
            </w:r>
            <w:proofErr w:type="spellEnd"/>
            <w:r>
              <w:rPr>
                <w:rFonts w:cstheme="minorHAnsi"/>
              </w:rPr>
              <w:t xml:space="preserve"> &amp; </w:t>
            </w:r>
            <w:r w:rsidRPr="00ED13EC">
              <w:rPr>
                <w:rFonts w:cstheme="minorHAnsi"/>
              </w:rPr>
              <w:t>Erwin Schwab</w:t>
            </w:r>
            <w:r w:rsidR="003B0AE8">
              <w:rPr>
                <w:rFonts w:cstheme="minorHAnsi"/>
              </w:rPr>
              <w:t xml:space="preserve"> </w:t>
            </w:r>
          </w:p>
          <w:p w14:paraId="77E84927" w14:textId="635B0FC3" w:rsidR="002F0106" w:rsidRDefault="00ED13EC" w:rsidP="003B0AE8">
            <w:pPr>
              <w:autoSpaceDE w:val="0"/>
              <w:autoSpaceDN w:val="0"/>
              <w:adjustRightInd w:val="0"/>
              <w:ind w:left="-100"/>
              <w:jc w:val="both"/>
              <w:rPr>
                <w:rFonts w:cstheme="minorHAnsi"/>
              </w:rPr>
            </w:pPr>
            <w:r w:rsidRPr="00ED13EC">
              <w:rPr>
                <w:rFonts w:cstheme="minorHAnsi"/>
              </w:rPr>
              <w:t>Pneuhage Fleet Solution GmbH</w:t>
            </w:r>
            <w:bookmarkStart w:id="0" w:name="_GoBack"/>
            <w:bookmarkEnd w:id="0"/>
          </w:p>
        </w:tc>
        <w:tc>
          <w:tcPr>
            <w:tcW w:w="3759" w:type="dxa"/>
          </w:tcPr>
          <w:p w14:paraId="7CDE8156" w14:textId="77777777" w:rsidR="003B0AE8" w:rsidRDefault="003B0AE8" w:rsidP="003B0AE8">
            <w:pPr>
              <w:tabs>
                <w:tab w:val="right" w:pos="921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E-Mail-Kontakt: </w:t>
            </w:r>
            <w:hyperlink r:id="rId8" w:history="1">
              <w:r w:rsidRPr="00C438D8">
                <w:rPr>
                  <w:rStyle w:val="Hyperlink"/>
                  <w:rFonts w:cstheme="minorHAnsi"/>
                </w:rPr>
                <w:t>redaktion@pneu.com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21628B71" w14:textId="0F4FA0F5" w:rsidR="003B0AE8" w:rsidRDefault="003B0AE8" w:rsidP="003B0AE8">
            <w:pPr>
              <w:tabs>
                <w:tab w:val="right" w:pos="921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 der </w:t>
            </w:r>
            <w:proofErr w:type="spellStart"/>
            <w:r>
              <w:rPr>
                <w:rFonts w:cstheme="minorHAnsi"/>
              </w:rPr>
              <w:t>Rossweid</w:t>
            </w:r>
            <w:proofErr w:type="spellEnd"/>
            <w:r>
              <w:rPr>
                <w:rFonts w:cstheme="minorHAnsi"/>
              </w:rPr>
              <w:t xml:space="preserve"> 23-25</w:t>
            </w:r>
          </w:p>
          <w:p w14:paraId="254B494B" w14:textId="431C1F4D" w:rsidR="002F0106" w:rsidRDefault="003B0AE8" w:rsidP="003B0AE8">
            <w:pPr>
              <w:tabs>
                <w:tab w:val="right" w:pos="921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76229 Karlsruhe, Germany</w:t>
            </w:r>
          </w:p>
        </w:tc>
      </w:tr>
    </w:tbl>
    <w:p w14:paraId="06110C1E" w14:textId="77777777" w:rsidR="003B0AE8" w:rsidRPr="007F64D7" w:rsidRDefault="003B0AE8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3B0AE8" w:rsidRPr="007F64D7" w:rsidSect="007F64D7">
      <w:headerReference w:type="default" r:id="rId9"/>
      <w:pgSz w:w="11906" w:h="16838"/>
      <w:pgMar w:top="1560" w:right="1304" w:bottom="851" w:left="1304" w:header="567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E3F3E" w14:textId="77777777" w:rsidR="0065371C" w:rsidRDefault="0065371C" w:rsidP="00DE750E">
      <w:pPr>
        <w:spacing w:after="0" w:line="240" w:lineRule="auto"/>
      </w:pPr>
      <w:r>
        <w:separator/>
      </w:r>
    </w:p>
  </w:endnote>
  <w:endnote w:type="continuationSeparator" w:id="0">
    <w:p w14:paraId="4727D234" w14:textId="77777777" w:rsidR="0065371C" w:rsidRDefault="0065371C" w:rsidP="00DE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2566E" w14:textId="77777777" w:rsidR="0065371C" w:rsidRDefault="0065371C" w:rsidP="00DE750E">
      <w:pPr>
        <w:spacing w:after="0" w:line="240" w:lineRule="auto"/>
      </w:pPr>
      <w:r>
        <w:separator/>
      </w:r>
    </w:p>
  </w:footnote>
  <w:footnote w:type="continuationSeparator" w:id="0">
    <w:p w14:paraId="73D3E7E8" w14:textId="77777777" w:rsidR="0065371C" w:rsidRDefault="0065371C" w:rsidP="00DE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5645" w14:textId="3E95CEED" w:rsidR="00DE750E" w:rsidRDefault="00ED13EC" w:rsidP="002F0106">
    <w:pPr>
      <w:tabs>
        <w:tab w:val="right" w:pos="9214"/>
      </w:tabs>
      <w:autoSpaceDE w:val="0"/>
      <w:autoSpaceDN w:val="0"/>
      <w:adjustRightInd w:val="0"/>
      <w:spacing w:after="0" w:line="240" w:lineRule="auto"/>
      <w:jc w:val="both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2967702D" wp14:editId="3FDA4E6F">
          <wp:simplePos x="0" y="0"/>
          <wp:positionH relativeFrom="margin">
            <wp:align>right</wp:align>
          </wp:positionH>
          <wp:positionV relativeFrom="paragraph">
            <wp:posOffset>-61595</wp:posOffset>
          </wp:positionV>
          <wp:extent cx="1721485" cy="311150"/>
          <wp:effectExtent l="0" t="0" r="0" b="0"/>
          <wp:wrapTight wrapText="bothSides">
            <wp:wrapPolygon edited="0">
              <wp:start x="0" y="0"/>
              <wp:lineTo x="0" y="19837"/>
              <wp:lineTo x="21273" y="19837"/>
              <wp:lineTo x="212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48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10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77252" wp14:editId="336B0BDE">
              <wp:simplePos x="0" y="0"/>
              <wp:positionH relativeFrom="margin">
                <wp:posOffset>-30480</wp:posOffset>
              </wp:positionH>
              <wp:positionV relativeFrom="paragraph">
                <wp:posOffset>408467</wp:posOffset>
              </wp:positionV>
              <wp:extent cx="5975985" cy="35560"/>
              <wp:effectExtent l="0" t="0" r="5715" b="254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5985" cy="35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0DEAA" id="Rechteck 1" o:spid="_x0000_s1026" style="position:absolute;margin-left:-2.4pt;margin-top:32.15pt;width:470.55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" fillcolor="#bfbfbf [2412]" stroked="f" strokeweight="1pt">
              <w10:wrap anchorx="margin"/>
            </v:rect>
          </w:pict>
        </mc:Fallback>
      </mc:AlternateContent>
    </w:r>
    <w:r w:rsidR="002F0106">
      <w:rPr>
        <w:rFonts w:cstheme="minorHAnsi"/>
        <w:b/>
        <w:bCs/>
        <w:sz w:val="28"/>
        <w:szCs w:val="24"/>
      </w:rPr>
      <w:t xml:space="preserve">Information der Geschäftsleitung </w:t>
    </w:r>
    <w:r>
      <w:rPr>
        <w:rFonts w:cstheme="minorHAnsi"/>
        <w:b/>
        <w:bCs/>
        <w:sz w:val="28"/>
        <w:szCs w:val="24"/>
      </w:rPr>
      <w:t xml:space="preserve"> </w:t>
    </w:r>
    <w:r w:rsidR="002F0106">
      <w:rPr>
        <w:rFonts w:cstheme="minorHAnsi"/>
        <w:b/>
        <w:bCs/>
        <w:sz w:val="28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7392"/>
    <w:multiLevelType w:val="hybridMultilevel"/>
    <w:tmpl w:val="CBA04A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57D52"/>
    <w:multiLevelType w:val="hybridMultilevel"/>
    <w:tmpl w:val="D6E6E010"/>
    <w:lvl w:ilvl="0" w:tplc="6CE61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26"/>
    <w:rsid w:val="00010686"/>
    <w:rsid w:val="00033F5B"/>
    <w:rsid w:val="000431A5"/>
    <w:rsid w:val="00066026"/>
    <w:rsid w:val="001303C8"/>
    <w:rsid w:val="00150045"/>
    <w:rsid w:val="00196BF9"/>
    <w:rsid w:val="001A3034"/>
    <w:rsid w:val="001B40F3"/>
    <w:rsid w:val="00271121"/>
    <w:rsid w:val="002F0106"/>
    <w:rsid w:val="003012A7"/>
    <w:rsid w:val="003116A7"/>
    <w:rsid w:val="00373A71"/>
    <w:rsid w:val="00396145"/>
    <w:rsid w:val="003B0AE8"/>
    <w:rsid w:val="003D1AAC"/>
    <w:rsid w:val="00474969"/>
    <w:rsid w:val="00481B20"/>
    <w:rsid w:val="004B2D71"/>
    <w:rsid w:val="004D09BA"/>
    <w:rsid w:val="005A5650"/>
    <w:rsid w:val="005E0F6B"/>
    <w:rsid w:val="006170A9"/>
    <w:rsid w:val="0065371C"/>
    <w:rsid w:val="006D25DE"/>
    <w:rsid w:val="006E71B4"/>
    <w:rsid w:val="006F5D2F"/>
    <w:rsid w:val="007E534B"/>
    <w:rsid w:val="007F64D7"/>
    <w:rsid w:val="00804348"/>
    <w:rsid w:val="008B2AA3"/>
    <w:rsid w:val="00967511"/>
    <w:rsid w:val="00B17887"/>
    <w:rsid w:val="00B23688"/>
    <w:rsid w:val="00B82953"/>
    <w:rsid w:val="00BA1AC9"/>
    <w:rsid w:val="00BD318D"/>
    <w:rsid w:val="00C31DA6"/>
    <w:rsid w:val="00C8018B"/>
    <w:rsid w:val="00C87AD1"/>
    <w:rsid w:val="00C92071"/>
    <w:rsid w:val="00D539B8"/>
    <w:rsid w:val="00D749A6"/>
    <w:rsid w:val="00DE750E"/>
    <w:rsid w:val="00E12334"/>
    <w:rsid w:val="00E544D6"/>
    <w:rsid w:val="00ED13EC"/>
    <w:rsid w:val="00ED28CB"/>
    <w:rsid w:val="00F408C1"/>
    <w:rsid w:val="00F5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C09E9F"/>
  <w15:chartTrackingRefBased/>
  <w15:docId w15:val="{43637B6C-895C-483B-BFC0-543D0A0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uv3um">
    <w:name w:val="uv3um"/>
    <w:basedOn w:val="Absatz-Standardschriftart"/>
    <w:rsid w:val="005A5650"/>
  </w:style>
  <w:style w:type="paragraph" w:styleId="Kopfzeile">
    <w:name w:val="header"/>
    <w:basedOn w:val="Standard"/>
    <w:link w:val="KopfzeileZchn"/>
    <w:uiPriority w:val="99"/>
    <w:unhideWhenUsed/>
    <w:rsid w:val="00DE7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50E"/>
  </w:style>
  <w:style w:type="paragraph" w:styleId="Fuzeile">
    <w:name w:val="footer"/>
    <w:basedOn w:val="Standard"/>
    <w:link w:val="FuzeileZchn"/>
    <w:uiPriority w:val="99"/>
    <w:unhideWhenUsed/>
    <w:rsid w:val="00DE7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50E"/>
  </w:style>
  <w:style w:type="paragraph" w:styleId="Listenabsatz">
    <w:name w:val="List Paragraph"/>
    <w:basedOn w:val="Standard"/>
    <w:uiPriority w:val="34"/>
    <w:qFormat/>
    <w:rsid w:val="00F408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544D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14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B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B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B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B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BF9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568C7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2F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ktion@pne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mleh.de/DE/themen/wald/waelder-weltweit/entwaldungsfreie-Lieferketten-eu-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Pneuhage / Interpneu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Lauber Petra (PLa)</dc:creator>
  <cp:keywords/>
  <dc:description/>
  <cp:lastModifiedBy>Graf Olga (OGr)</cp:lastModifiedBy>
  <cp:revision>3</cp:revision>
  <cp:lastPrinted>2025-08-08T14:34:00Z</cp:lastPrinted>
  <dcterms:created xsi:type="dcterms:W3CDTF">2025-08-26T12:26:00Z</dcterms:created>
  <dcterms:modified xsi:type="dcterms:W3CDTF">2025-09-17T14:11:00Z</dcterms:modified>
</cp:coreProperties>
</file>